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02A" w:rsidRDefault="00847C7A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4E502A" w:rsidRDefault="00847C7A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1917"/>
        <w:gridCol w:w="1004"/>
      </w:tblGrid>
      <w:tr w:rsidR="004E502A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4E502A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 II stopień</w:t>
            </w: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 Stacjonarne </w:t>
            </w:r>
          </w:p>
        </w:tc>
      </w:tr>
      <w:tr w:rsidR="004E502A">
        <w:tc>
          <w:tcPr>
            <w:tcW w:w="4192" w:type="dxa"/>
            <w:gridSpan w:val="2"/>
          </w:tcPr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I</w:t>
            </w:r>
          </w:p>
        </w:tc>
        <w:tc>
          <w:tcPr>
            <w:tcW w:w="5500" w:type="dxa"/>
            <w:gridSpan w:val="3"/>
          </w:tcPr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 Semestr: 2</w:t>
            </w:r>
          </w:p>
        </w:tc>
      </w:tr>
      <w:tr w:rsidR="004E502A">
        <w:tc>
          <w:tcPr>
            <w:tcW w:w="9692" w:type="dxa"/>
            <w:gridSpan w:val="5"/>
          </w:tcPr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 Analiza i ocena zagrożeń w środowisku pracy</w:t>
            </w:r>
          </w:p>
        </w:tc>
      </w:tr>
      <w:tr w:rsidR="004E502A">
        <w:tc>
          <w:tcPr>
            <w:tcW w:w="9692" w:type="dxa"/>
            <w:gridSpan w:val="5"/>
          </w:tcPr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 specjalnościowy/fakultatywny</w:t>
            </w:r>
          </w:p>
        </w:tc>
      </w:tr>
      <w:tr w:rsidR="004E502A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4E502A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4E502A" w:rsidRDefault="004E50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Umiejętność analizy i oceny zagrożeń występujących w środowisku pracy</w:t>
            </w:r>
          </w:p>
          <w:p w:rsidR="004E502A" w:rsidRDefault="004E50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Wykłady: </w:t>
            </w: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Klasyfikacja czynników szkodliwych i uciążliwych w środowisku pracy  </w:t>
            </w: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Fizyczne szkodliwości zawodowe. Dźwięki słyszalne, hałas infradźwiękowy i ultradźwiękowy, ogólne i miejscowe drgania mechaniczne</w:t>
            </w: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Mikroklimat zimny i gorący i jego wpływ na zdrowie pracow</w:t>
            </w:r>
            <w:r>
              <w:rPr>
                <w:color w:val="000000"/>
              </w:rPr>
              <w:t xml:space="preserve">nika </w:t>
            </w: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Nanocząstki</w:t>
            </w:r>
            <w:proofErr w:type="spellEnd"/>
            <w:r>
              <w:rPr>
                <w:color w:val="000000"/>
              </w:rPr>
              <w:t xml:space="preserve"> w środowisku pracy </w:t>
            </w: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Promieniowanie elektromagnetyczne, pola elektromagnetyczne, promieniowanie widzialne, UV i IR Czynniki biologiczne i psychospołeczne w środowisku pracy </w:t>
            </w: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Zagrożenia pyłowe w środowisku pracy. </w:t>
            </w: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Seminaria:</w:t>
            </w: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Krajowe przepisy dotyczące NDN czynników fizycznych i NDS czynników chemicznych.</w:t>
            </w: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Ocena narażenia na hałas w środowisku pracy. </w:t>
            </w: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Najwyższe dopuszczalne stężenia dla drgań ogólnych i miejscowych w środowisku pracy. </w:t>
            </w: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Czynniki szkodliwe i uciążliwe w różnych ga</w:t>
            </w:r>
            <w:r>
              <w:rPr>
                <w:color w:val="000000"/>
              </w:rPr>
              <w:t xml:space="preserve">łęziach przemysłu, </w:t>
            </w: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Wielkości fotometryczne w ocenie oświetlenia, zakresy promieniowania optycznego. </w:t>
            </w: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Zasady pracy z laserami, </w:t>
            </w: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Źródła pól elektromagnetycznych w środowisku pracy </w:t>
            </w: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Narażenie na czynniki biologiczne w rożnych zawodach</w:t>
            </w: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Narzędzia do oceny stre</w:t>
            </w:r>
            <w:r>
              <w:rPr>
                <w:color w:val="000000"/>
              </w:rPr>
              <w:t xml:space="preserve">su </w:t>
            </w: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Zasady postepowania z wyrobami zawierającymi azbest </w:t>
            </w: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Ćwiczenia:</w:t>
            </w: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Metodologia pomiarów fizycznych czynników szkodliwych. </w:t>
            </w: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Higieniczna ocena hałasu przemysłowego, oświetlenia, wibracji i pól elektromagnetycznych</w:t>
            </w: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Ocena parametrów mikroklimatycznych </w:t>
            </w: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Ocena stanu BHP i </w:t>
            </w:r>
            <w:proofErr w:type="spellStart"/>
            <w:r>
              <w:rPr>
                <w:color w:val="000000"/>
              </w:rPr>
              <w:t>ppoż</w:t>
            </w:r>
            <w:proofErr w:type="spellEnd"/>
            <w:r>
              <w:rPr>
                <w:color w:val="000000"/>
              </w:rPr>
              <w:t xml:space="preserve"> w laboratorium - pracowni</w:t>
            </w:r>
          </w:p>
          <w:p w:rsidR="004E502A" w:rsidRDefault="004E50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wiedzy student zna i rozumie: K_W1, K_W17</w:t>
            </w: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umiejętności student potrafi: K_U02, K_U06</w:t>
            </w: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kompetencj</w:t>
            </w:r>
            <w:r>
              <w:rPr>
                <w:color w:val="000000"/>
              </w:rPr>
              <w:t>i społecznych student jest gotów do: K_K07</w:t>
            </w:r>
          </w:p>
          <w:p w:rsidR="004E502A" w:rsidRDefault="004E50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</w:tr>
      <w:tr w:rsidR="004E502A">
        <w:tc>
          <w:tcPr>
            <w:tcW w:w="8688" w:type="dxa"/>
            <w:gridSpan w:val="4"/>
            <w:vAlign w:val="center"/>
          </w:tcPr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140(7</w:t>
            </w:r>
            <w:r>
              <w:rPr>
                <w:b/>
                <w:color w:val="000000"/>
              </w:rPr>
              <w:t>0)</w:t>
            </w:r>
          </w:p>
        </w:tc>
      </w:tr>
      <w:tr w:rsidR="004E502A">
        <w:tc>
          <w:tcPr>
            <w:tcW w:w="8688" w:type="dxa"/>
            <w:gridSpan w:val="4"/>
            <w:vAlign w:val="center"/>
          </w:tcPr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 (2,5</w:t>
            </w:r>
            <w:bookmarkStart w:id="0" w:name="_GoBack"/>
            <w:bookmarkEnd w:id="0"/>
            <w:r>
              <w:rPr>
                <w:b/>
                <w:color w:val="000000"/>
              </w:rPr>
              <w:t>)</w:t>
            </w:r>
          </w:p>
        </w:tc>
      </w:tr>
      <w:tr w:rsidR="004E502A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4E502A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4E502A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Sprawdzian pisemny – pytania otwarte</w:t>
            </w: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Zaliczenie na ocenę – test wyboru</w:t>
            </w: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Egzamin - pytania otwarte i test wyboru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4E502A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Sprawozdanie</w:t>
            </w:r>
          </w:p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4E502A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4E502A" w:rsidRDefault="00847C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</w:tbl>
    <w:p w:rsidR="004E502A" w:rsidRDefault="004E502A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4E502A" w:rsidRDefault="00847C7A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</w:t>
      </w:r>
      <w:r>
        <w:rPr>
          <w:color w:val="000000"/>
        </w:rPr>
        <w:t xml:space="preserve"> zakłada się, że ocena oznacza na poziomie:</w:t>
      </w:r>
    </w:p>
    <w:p w:rsidR="004E502A" w:rsidRDefault="00847C7A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4E502A" w:rsidRDefault="00847C7A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</w:t>
      </w:r>
      <w:r>
        <w:rPr>
          <w:color w:val="000000"/>
        </w:rPr>
        <w:t>kraczają wymagany poziom</w:t>
      </w:r>
    </w:p>
    <w:p w:rsidR="004E502A" w:rsidRDefault="00847C7A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:rsidR="004E502A" w:rsidRDefault="00847C7A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4E502A" w:rsidRDefault="00847C7A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</w:t>
      </w:r>
      <w:r>
        <w:rPr>
          <w:color w:val="000000"/>
        </w:rPr>
        <w:t>ostały osiągnięte na minimalnym wymaganym poziomie</w:t>
      </w:r>
    </w:p>
    <w:p w:rsidR="004E502A" w:rsidRDefault="00847C7A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sectPr w:rsidR="004E502A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2A"/>
    <w:rsid w:val="004E502A"/>
    <w:rsid w:val="0084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5B93B9-D4EE-4769-A0A1-F9754A80A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Bezodstpw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7Um6hjVGlUnec5oEZj4XA1zqwQ==">AMUW2mXwzsy2HJvuRKFD8Tu/wUXNLpJINvxvcJmpQmcBsvdoxdB2Wk6QxNTkFVfbKZxER/EYepL8a39I9NdKFG/YM4LM0jRcQBgRTlSdUJ9Td0hU/Y9v5vg=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F56C5385-9EA0-42EE-AF7D-BD68359083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F0D693-EB5B-453E-8CDE-CDF07A84AF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779129-CB0B-4556-BB41-B7D11A2421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2639</Characters>
  <Application>Microsoft Office Word</Application>
  <DocSecurity>0</DocSecurity>
  <Lines>21</Lines>
  <Paragraphs>6</Paragraphs>
  <ScaleCrop>false</ScaleCrop>
  <Company/>
  <LinksUpToDate>false</LinksUpToDate>
  <CharactersWithSpaces>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2021-03-27T16:49:00Z</dcterms:created>
  <dcterms:modified xsi:type="dcterms:W3CDTF">2022-03-31T15:34:00Z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